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1BD8" w14:textId="31576446" w:rsidR="006E20D8" w:rsidRPr="006E20D8" w:rsidRDefault="002D6358" w:rsidP="00C81FB3">
      <w:pPr>
        <w:tabs>
          <w:tab w:val="center" w:pos="4819"/>
          <w:tab w:val="right" w:pos="9638"/>
        </w:tabs>
        <w:spacing w:after="0" w:line="240" w:lineRule="auto"/>
        <w:ind w:firstLine="9356"/>
        <w:rPr>
          <w:rFonts w:ascii="Times New Roman" w:eastAsia="Times New Roman" w:hAnsi="Times New Roman" w:cs="Times New Roman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</w:t>
      </w:r>
      <w:r w:rsidR="006E20D8" w:rsidRPr="006E20D8">
        <w:rPr>
          <w:rFonts w:ascii="Times New Roman" w:eastAsia="Times New Roman" w:hAnsi="Times New Roman" w:cs="Times New Roman"/>
          <w:szCs w:val="24"/>
          <w:lang w:val="lt-LT" w:eastAsia="lt-LT"/>
        </w:rPr>
        <w:t>PATVIRTINTA</w:t>
      </w:r>
    </w:p>
    <w:p w14:paraId="42E00A4E" w14:textId="1DBB311A" w:rsidR="006E20D8" w:rsidRPr="006E20D8" w:rsidRDefault="002D6358" w:rsidP="00C81FB3">
      <w:pPr>
        <w:tabs>
          <w:tab w:val="center" w:pos="4819"/>
          <w:tab w:val="right" w:pos="9638"/>
        </w:tabs>
        <w:spacing w:after="0" w:line="240" w:lineRule="auto"/>
        <w:ind w:right="-142" w:firstLine="9356"/>
        <w:rPr>
          <w:rFonts w:ascii="Times New Roman" w:eastAsia="Times New Roman" w:hAnsi="Times New Roman" w:cs="Times New Roman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</w:t>
      </w:r>
      <w:r w:rsidR="00C81FB3">
        <w:rPr>
          <w:rFonts w:ascii="Times New Roman" w:eastAsia="Times New Roman" w:hAnsi="Times New Roman" w:cs="Times New Roman"/>
          <w:szCs w:val="24"/>
          <w:lang w:val="lt-LT" w:eastAsia="lt-LT"/>
        </w:rPr>
        <w:t>Viešosios įstaigos Respublikinės Vilniaus psichiatrijos</w:t>
      </w:r>
      <w:r w:rsidR="006E20D8" w:rsidRPr="006E20D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ligoninės</w:t>
      </w:r>
    </w:p>
    <w:p w14:paraId="77112886" w14:textId="7A614B22" w:rsidR="006E20D8" w:rsidRPr="002D6358" w:rsidRDefault="00C81FB3" w:rsidP="006D599C">
      <w:pPr>
        <w:tabs>
          <w:tab w:val="center" w:pos="4819"/>
          <w:tab w:val="right" w:pos="9638"/>
        </w:tabs>
        <w:spacing w:after="0" w:line="240" w:lineRule="auto"/>
        <w:ind w:firstLine="9356"/>
        <w:rPr>
          <w:rFonts w:ascii="Times New Roman" w:eastAsia="Times New Roman" w:hAnsi="Times New Roman" w:cs="Times New Roman"/>
          <w:szCs w:val="24"/>
          <w:lang w:val="lt-LT" w:eastAsia="lt-LT"/>
        </w:rPr>
      </w:pPr>
      <w:r w:rsidRPr="002D635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d</w:t>
      </w:r>
      <w:r w:rsidR="00B65437" w:rsidRPr="002D6358">
        <w:rPr>
          <w:rFonts w:ascii="Times New Roman" w:eastAsia="Times New Roman" w:hAnsi="Times New Roman" w:cs="Times New Roman"/>
          <w:szCs w:val="24"/>
          <w:lang w:val="lt-LT" w:eastAsia="lt-LT"/>
        </w:rPr>
        <w:t>irektoriaus 202</w:t>
      </w:r>
      <w:r w:rsidRPr="002D6358">
        <w:rPr>
          <w:rFonts w:ascii="Times New Roman" w:eastAsia="Times New Roman" w:hAnsi="Times New Roman" w:cs="Times New Roman"/>
          <w:szCs w:val="24"/>
          <w:lang w:val="lt-LT" w:eastAsia="lt-LT"/>
        </w:rPr>
        <w:t>3</w:t>
      </w:r>
      <w:r w:rsidR="00B65437" w:rsidRPr="002D635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m. </w:t>
      </w:r>
      <w:r w:rsidRPr="002D6358">
        <w:rPr>
          <w:rFonts w:ascii="Times New Roman" w:eastAsia="Times New Roman" w:hAnsi="Times New Roman" w:cs="Times New Roman"/>
          <w:szCs w:val="24"/>
          <w:lang w:val="lt-LT" w:eastAsia="lt-LT"/>
        </w:rPr>
        <w:t>kov</w:t>
      </w:r>
      <w:r w:rsidR="00B65437" w:rsidRPr="002D635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o </w:t>
      </w:r>
      <w:r w:rsidR="00CC7BF4">
        <w:rPr>
          <w:rFonts w:ascii="Times New Roman" w:eastAsia="Times New Roman" w:hAnsi="Times New Roman" w:cs="Times New Roman"/>
          <w:szCs w:val="24"/>
          <w:lang w:val="lt-LT" w:eastAsia="lt-LT"/>
        </w:rPr>
        <w:t>2</w:t>
      </w:r>
      <w:r w:rsidR="00357C07">
        <w:rPr>
          <w:rFonts w:ascii="Times New Roman" w:eastAsia="Times New Roman" w:hAnsi="Times New Roman" w:cs="Times New Roman"/>
          <w:szCs w:val="24"/>
          <w:lang w:val="lt-LT" w:eastAsia="lt-LT"/>
        </w:rPr>
        <w:t>7</w:t>
      </w:r>
      <w:r w:rsidR="006D599C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</w:t>
      </w:r>
      <w:r w:rsidR="006E20D8" w:rsidRPr="002D6358">
        <w:rPr>
          <w:rFonts w:ascii="Times New Roman" w:eastAsia="Times New Roman" w:hAnsi="Times New Roman" w:cs="Times New Roman"/>
          <w:szCs w:val="24"/>
          <w:lang w:val="lt-LT" w:eastAsia="lt-LT"/>
        </w:rPr>
        <w:t>d.</w:t>
      </w:r>
      <w:r w:rsidRPr="002D635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 </w:t>
      </w:r>
      <w:r w:rsidR="006E20D8" w:rsidRPr="002D6358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įsakymu Nr. </w:t>
      </w:r>
      <w:r w:rsidR="00CC7BF4">
        <w:rPr>
          <w:rFonts w:ascii="Times New Roman" w:eastAsia="Times New Roman" w:hAnsi="Times New Roman" w:cs="Times New Roman"/>
          <w:szCs w:val="24"/>
          <w:lang w:val="lt-LT" w:eastAsia="lt-LT"/>
        </w:rPr>
        <w:t xml:space="preserve">V1 - </w:t>
      </w:r>
      <w:r w:rsidR="00357C07">
        <w:rPr>
          <w:rFonts w:ascii="Times New Roman" w:eastAsia="Times New Roman" w:hAnsi="Times New Roman" w:cs="Times New Roman"/>
          <w:szCs w:val="24"/>
          <w:lang w:val="lt-LT" w:eastAsia="lt-LT"/>
        </w:rPr>
        <w:t>63</w:t>
      </w:r>
    </w:p>
    <w:p w14:paraId="684CA040" w14:textId="77777777" w:rsidR="006E20D8" w:rsidRPr="002D6358" w:rsidRDefault="006E20D8" w:rsidP="006E20D8">
      <w:pPr>
        <w:pStyle w:val="NoSpacing"/>
        <w:jc w:val="right"/>
        <w:rPr>
          <w:lang w:val="lt-LT"/>
        </w:rPr>
      </w:pPr>
    </w:p>
    <w:p w14:paraId="5EACB5F4" w14:textId="77777777" w:rsidR="006E20D8" w:rsidRPr="002D6358" w:rsidRDefault="006E20D8" w:rsidP="006E20D8">
      <w:pPr>
        <w:pStyle w:val="NoSpacing"/>
        <w:jc w:val="right"/>
        <w:rPr>
          <w:lang w:val="lt-LT"/>
        </w:rPr>
      </w:pPr>
    </w:p>
    <w:p w14:paraId="22CD3167" w14:textId="6BB919E3" w:rsidR="006E20D8" w:rsidRPr="002D6358" w:rsidRDefault="00C81FB3" w:rsidP="006E20D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D63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VIEŠOSIOS ĮSTAIGOS RESPUBLIKINĖS VILNIAUS PSICHIATRIJOS </w:t>
      </w:r>
      <w:r w:rsidR="006E20D8" w:rsidRPr="002D6358">
        <w:rPr>
          <w:rFonts w:ascii="Times New Roman" w:hAnsi="Times New Roman" w:cs="Times New Roman"/>
          <w:b/>
          <w:sz w:val="24"/>
          <w:szCs w:val="24"/>
          <w:lang w:val="lt-LT"/>
        </w:rPr>
        <w:t>LIGONINĖS 202</w:t>
      </w:r>
      <w:r w:rsidRPr="002D6358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E20D8" w:rsidRPr="002D6358">
        <w:rPr>
          <w:rFonts w:ascii="Times New Roman" w:hAnsi="Times New Roman" w:cs="Times New Roman"/>
          <w:b/>
          <w:sz w:val="24"/>
          <w:szCs w:val="24"/>
          <w:lang w:val="lt-LT"/>
        </w:rPr>
        <w:t>-202</w:t>
      </w:r>
      <w:r w:rsidRPr="002D6358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6E20D8" w:rsidRPr="002D63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METŲ KORUPCIJOS PREVENCIJOS PRIEMONIŲ PLANAS</w:t>
      </w:r>
    </w:p>
    <w:p w14:paraId="34ECF524" w14:textId="77777777" w:rsidR="006E20D8" w:rsidRPr="002D6358" w:rsidRDefault="006E20D8" w:rsidP="006E20D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1852CD1" w14:textId="77777777" w:rsidR="00D05959" w:rsidRPr="002D6358" w:rsidRDefault="00D05959" w:rsidP="00D05959">
      <w:pPr>
        <w:pStyle w:val="NoSpacing"/>
        <w:jc w:val="center"/>
        <w:rPr>
          <w:lang w:val="lt-LT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48"/>
        <w:gridCol w:w="3913"/>
        <w:gridCol w:w="2353"/>
        <w:gridCol w:w="2370"/>
        <w:gridCol w:w="2275"/>
        <w:gridCol w:w="3504"/>
      </w:tblGrid>
      <w:tr w:rsidR="00A86597" w:rsidRPr="002D6358" w14:paraId="56D5C144" w14:textId="13327C5C" w:rsidTr="00F41EC7">
        <w:tc>
          <w:tcPr>
            <w:tcW w:w="15163" w:type="dxa"/>
            <w:gridSpan w:val="6"/>
          </w:tcPr>
          <w:p w14:paraId="12D99B42" w14:textId="5CC29758" w:rsidR="00A86597" w:rsidRPr="002D6358" w:rsidRDefault="00A86597" w:rsidP="00A86597">
            <w:pPr>
              <w:tabs>
                <w:tab w:val="left" w:pos="230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 TIKSLAS. Diegti bendrus elgesio standartus.</w:t>
            </w:r>
          </w:p>
        </w:tc>
      </w:tr>
      <w:tr w:rsidR="00A86597" w:rsidRPr="002D6358" w14:paraId="5D392F8B" w14:textId="4125F18B" w:rsidTr="00C2188D">
        <w:tc>
          <w:tcPr>
            <w:tcW w:w="15163" w:type="dxa"/>
            <w:gridSpan w:val="6"/>
          </w:tcPr>
          <w:p w14:paraId="67B02EAC" w14:textId="1A6240CB" w:rsidR="00A86597" w:rsidRPr="002D6358" w:rsidRDefault="00A86597" w:rsidP="005C352D">
            <w:pPr>
              <w:tabs>
                <w:tab w:val="left" w:pos="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1.1. UŽDAVINYS. Tobulinti antikorupcinę aplinką ir valdyti interesų konfliktus.</w:t>
            </w:r>
          </w:p>
        </w:tc>
      </w:tr>
      <w:tr w:rsidR="00A86597" w:rsidRPr="002D6358" w14:paraId="720D5AB4" w14:textId="6CFB59C5" w:rsidTr="00A86597">
        <w:tc>
          <w:tcPr>
            <w:tcW w:w="748" w:type="dxa"/>
          </w:tcPr>
          <w:p w14:paraId="75E1C394" w14:textId="77777777" w:rsidR="00A86597" w:rsidRPr="005C352D" w:rsidRDefault="00A86597" w:rsidP="005C35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5C352D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13" w:type="dxa"/>
          </w:tcPr>
          <w:p w14:paraId="71190E08" w14:textId="77777777" w:rsidR="00A86597" w:rsidRPr="005C352D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5C352D">
              <w:rPr>
                <w:rFonts w:ascii="Times New Roman" w:hAnsi="Times New Roman" w:cs="Times New Roman"/>
                <w:b/>
                <w:i/>
                <w:lang w:val="lt-LT"/>
              </w:rPr>
              <w:t xml:space="preserve">Priemonės </w:t>
            </w:r>
          </w:p>
        </w:tc>
        <w:tc>
          <w:tcPr>
            <w:tcW w:w="2353" w:type="dxa"/>
          </w:tcPr>
          <w:p w14:paraId="693C401D" w14:textId="77777777" w:rsidR="00A86597" w:rsidRPr="005C352D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5C352D">
              <w:rPr>
                <w:rFonts w:ascii="Times New Roman" w:hAnsi="Times New Roman" w:cs="Times New Roman"/>
                <w:b/>
                <w:i/>
                <w:lang w:val="lt-LT"/>
              </w:rPr>
              <w:t xml:space="preserve">Vykdytojai  </w:t>
            </w:r>
          </w:p>
        </w:tc>
        <w:tc>
          <w:tcPr>
            <w:tcW w:w="2370" w:type="dxa"/>
          </w:tcPr>
          <w:p w14:paraId="47749870" w14:textId="77777777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5C352D">
              <w:rPr>
                <w:rFonts w:ascii="Times New Roman" w:hAnsi="Times New Roman" w:cs="Times New Roman"/>
                <w:b/>
                <w:i/>
                <w:lang w:val="lt-LT"/>
              </w:rPr>
              <w:t>Įgyvendinimo terminas</w:t>
            </w:r>
          </w:p>
        </w:tc>
        <w:tc>
          <w:tcPr>
            <w:tcW w:w="2275" w:type="dxa"/>
          </w:tcPr>
          <w:p w14:paraId="5F08DCD9" w14:textId="77777777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5C352D">
              <w:rPr>
                <w:rFonts w:ascii="Times New Roman" w:hAnsi="Times New Roman" w:cs="Times New Roman"/>
                <w:b/>
                <w:i/>
                <w:lang w:val="lt-LT"/>
              </w:rPr>
              <w:t>Laukiamo rezultato vertinimo kriterijai</w:t>
            </w:r>
          </w:p>
        </w:tc>
        <w:tc>
          <w:tcPr>
            <w:tcW w:w="3504" w:type="dxa"/>
          </w:tcPr>
          <w:p w14:paraId="01AFB9E1" w14:textId="3F0805D1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A86597">
              <w:rPr>
                <w:rFonts w:ascii="Times New Roman" w:hAnsi="Times New Roman" w:cs="Times New Roman"/>
                <w:b/>
                <w:i/>
                <w:color w:val="7030A0"/>
                <w:lang w:val="lt-LT"/>
              </w:rPr>
              <w:t>Rezultatas</w:t>
            </w:r>
          </w:p>
        </w:tc>
      </w:tr>
      <w:tr w:rsidR="00A86597" w:rsidRPr="002D6358" w14:paraId="55559F55" w14:textId="2607F770" w:rsidTr="00A86597">
        <w:tc>
          <w:tcPr>
            <w:tcW w:w="748" w:type="dxa"/>
          </w:tcPr>
          <w:p w14:paraId="45361FD6" w14:textId="31F60813" w:rsidR="00A86597" w:rsidRPr="005C352D" w:rsidRDefault="00A86597" w:rsidP="005C352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1.1.5</w:t>
            </w:r>
          </w:p>
        </w:tc>
        <w:tc>
          <w:tcPr>
            <w:tcW w:w="3913" w:type="dxa"/>
          </w:tcPr>
          <w:p w14:paraId="48703B2B" w14:textId="40C9F276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Korupcijos pasireiškimo tikimybės nustatymas bent dvejose pasirinktose srityse.</w:t>
            </w:r>
          </w:p>
        </w:tc>
        <w:tc>
          <w:tcPr>
            <w:tcW w:w="2353" w:type="dxa"/>
          </w:tcPr>
          <w:p w14:paraId="149AC614" w14:textId="00F4F425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Korupcijos prevencijos specialistas</w:t>
            </w:r>
          </w:p>
        </w:tc>
        <w:tc>
          <w:tcPr>
            <w:tcW w:w="2370" w:type="dxa"/>
          </w:tcPr>
          <w:p w14:paraId="5D4A4DEA" w14:textId="24AB1DB7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 xml:space="preserve">2023 m. – III </w:t>
            </w:r>
            <w:proofErr w:type="spellStart"/>
            <w:r w:rsidRPr="005C352D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5C352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69BE07B" w14:textId="2CB3A1EC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 xml:space="preserve">2024 m. – III </w:t>
            </w:r>
            <w:proofErr w:type="spellStart"/>
            <w:r w:rsidRPr="005C352D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5C352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0AD9E7F" w14:textId="69CC9E31" w:rsidR="00A86597" w:rsidRPr="005C352D" w:rsidRDefault="00A86597" w:rsidP="005C352D">
            <w:pPr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 xml:space="preserve">2025 m. – III </w:t>
            </w:r>
            <w:proofErr w:type="spellStart"/>
            <w:r w:rsidRPr="005C352D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5C352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275" w:type="dxa"/>
          </w:tcPr>
          <w:p w14:paraId="6FA62E93" w14:textId="76F80A2B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Atliktas korupcijos pasireiškimo tikimybės nustatymas.</w:t>
            </w:r>
          </w:p>
        </w:tc>
        <w:tc>
          <w:tcPr>
            <w:tcW w:w="3504" w:type="dxa"/>
          </w:tcPr>
          <w:p w14:paraId="1AAC51D7" w14:textId="0B1FF113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A86597">
              <w:rPr>
                <w:rFonts w:ascii="Times New Roman" w:hAnsi="Times New Roman" w:cs="Times New Roman"/>
                <w:color w:val="7030A0"/>
                <w:lang w:val="lt-LT"/>
              </w:rPr>
              <w:t>Laukiama SAM nurodymų</w:t>
            </w:r>
          </w:p>
        </w:tc>
      </w:tr>
      <w:tr w:rsidR="00A86597" w:rsidRPr="002D6358" w14:paraId="2C2C46FA" w14:textId="5FCC69E3" w:rsidTr="00A86597">
        <w:tc>
          <w:tcPr>
            <w:tcW w:w="748" w:type="dxa"/>
          </w:tcPr>
          <w:p w14:paraId="53CE44AA" w14:textId="6BABAA83" w:rsidR="00A86597" w:rsidRPr="005C352D" w:rsidRDefault="00A86597" w:rsidP="005C352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1.1.6.</w:t>
            </w:r>
          </w:p>
        </w:tc>
        <w:tc>
          <w:tcPr>
            <w:tcW w:w="3913" w:type="dxa"/>
          </w:tcPr>
          <w:p w14:paraId="2B2D0ABF" w14:textId="678C6BFF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Atlikti planinius visų turinčių pareigą deklaruoti Ligoninės darbuotojų (einančių pareigas, įtrauktas į Ligoninės pareigų, kurias einantys asmenys privalo deklaruoti privačius interesus, sąrašą), privačių interesų deklaracijų patikrinimus.</w:t>
            </w:r>
          </w:p>
        </w:tc>
        <w:tc>
          <w:tcPr>
            <w:tcW w:w="2353" w:type="dxa"/>
          </w:tcPr>
          <w:p w14:paraId="7A0204D2" w14:textId="77CE64E2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Atitikties pareigūnas</w:t>
            </w:r>
          </w:p>
        </w:tc>
        <w:tc>
          <w:tcPr>
            <w:tcW w:w="2370" w:type="dxa"/>
          </w:tcPr>
          <w:p w14:paraId="3A7FD869" w14:textId="66E77958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Du kartus į metus</w:t>
            </w:r>
          </w:p>
        </w:tc>
        <w:tc>
          <w:tcPr>
            <w:tcW w:w="2275" w:type="dxa"/>
          </w:tcPr>
          <w:p w14:paraId="559E122E" w14:textId="13E184A1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Atlikti planiniai visų turinčių pareigą deklaruoti Ligoninės darbuotojų privačių interesų deklaracijų patikrinimai.</w:t>
            </w:r>
          </w:p>
        </w:tc>
        <w:tc>
          <w:tcPr>
            <w:tcW w:w="3504" w:type="dxa"/>
          </w:tcPr>
          <w:p w14:paraId="40071FED" w14:textId="56A3E1F8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A86597">
              <w:rPr>
                <w:rFonts w:ascii="Times New Roman" w:hAnsi="Times New Roman" w:cs="Times New Roman"/>
                <w:color w:val="7030A0"/>
                <w:lang w:val="lt-LT"/>
              </w:rPr>
              <w:t>Antrasis patikrinimas planuojamas lapkričio</w:t>
            </w:r>
            <w:r w:rsidR="00E46965">
              <w:rPr>
                <w:rFonts w:ascii="Times New Roman" w:hAnsi="Times New Roman" w:cs="Times New Roman"/>
                <w:color w:val="7030A0"/>
                <w:lang w:val="lt-LT"/>
              </w:rPr>
              <w:t>-gruodžio</w:t>
            </w:r>
            <w:r w:rsidRPr="00A86597">
              <w:rPr>
                <w:rFonts w:ascii="Times New Roman" w:hAnsi="Times New Roman" w:cs="Times New Roman"/>
                <w:color w:val="7030A0"/>
                <w:lang w:val="lt-LT"/>
              </w:rPr>
              <w:t xml:space="preserve"> mėnesį.</w:t>
            </w:r>
          </w:p>
        </w:tc>
      </w:tr>
      <w:tr w:rsidR="00A86597" w:rsidRPr="002D6358" w14:paraId="191241FA" w14:textId="6C60A79A" w:rsidTr="00A86597">
        <w:tc>
          <w:tcPr>
            <w:tcW w:w="748" w:type="dxa"/>
          </w:tcPr>
          <w:p w14:paraId="73AB300F" w14:textId="689CF1ED" w:rsidR="00A86597" w:rsidRPr="005C352D" w:rsidRDefault="00A86597" w:rsidP="005C352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1.1.7.</w:t>
            </w:r>
          </w:p>
        </w:tc>
        <w:tc>
          <w:tcPr>
            <w:tcW w:w="3913" w:type="dxa"/>
          </w:tcPr>
          <w:p w14:paraId="095F93C8" w14:textId="2385B524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Atnaujinti Korupcijos prevencijos politiką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353" w:type="dxa"/>
          </w:tcPr>
          <w:p w14:paraId="32B51B86" w14:textId="4500B51F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Korupcijos prevencijos specialistas</w:t>
            </w:r>
          </w:p>
        </w:tc>
        <w:tc>
          <w:tcPr>
            <w:tcW w:w="2370" w:type="dxa"/>
          </w:tcPr>
          <w:p w14:paraId="68EDC289" w14:textId="0DA4F085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 xml:space="preserve">2023 m. – IV </w:t>
            </w:r>
            <w:proofErr w:type="spellStart"/>
            <w:r w:rsidRPr="005C352D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5C352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275" w:type="dxa"/>
          </w:tcPr>
          <w:p w14:paraId="044D0054" w14:textId="1F9B4A7F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C352D">
              <w:rPr>
                <w:rFonts w:ascii="Times New Roman" w:hAnsi="Times New Roman" w:cs="Times New Roman"/>
                <w:lang w:val="lt-LT"/>
              </w:rPr>
              <w:t>Atnaujinta Korupcijos prevencijos politika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504" w:type="dxa"/>
          </w:tcPr>
          <w:p w14:paraId="3E5CB9B5" w14:textId="77777777" w:rsidR="00A86597" w:rsidRPr="00A86597" w:rsidRDefault="00A86597" w:rsidP="00A86597">
            <w:pPr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r w:rsidRPr="00A86597">
              <w:rPr>
                <w:rFonts w:ascii="Times New Roman" w:hAnsi="Times New Roman" w:cs="Times New Roman"/>
                <w:color w:val="7030A0"/>
                <w:lang w:val="lt-LT"/>
              </w:rPr>
              <w:t>Atnaujinta Korupcijos prevencijos politika.</w:t>
            </w:r>
          </w:p>
          <w:p w14:paraId="064D36D7" w14:textId="77777777" w:rsidR="00A86597" w:rsidRPr="00A86597" w:rsidRDefault="00A86597" w:rsidP="00A8659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B3D80AA" w14:textId="77777777" w:rsidR="00A86597" w:rsidRPr="00A86597" w:rsidRDefault="00A86597" w:rsidP="00A8659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A86597">
              <w:rPr>
                <w:rFonts w:ascii="Times New Roman" w:hAnsi="Times New Roman" w:cs="Times New Roman"/>
                <w:lang w:val="lt-LT"/>
              </w:rPr>
              <w:t>Nuoroda į politiką:</w:t>
            </w:r>
          </w:p>
          <w:p w14:paraId="617DDA30" w14:textId="77777777" w:rsidR="00A86597" w:rsidRPr="00A86597" w:rsidRDefault="00213835" w:rsidP="00A8659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6" w:history="1">
              <w:r w:rsidR="00A86597" w:rsidRPr="00A86597">
                <w:rPr>
                  <w:rStyle w:val="Hyperlink"/>
                  <w:rFonts w:ascii="Times New Roman" w:hAnsi="Times New Roman" w:cs="Times New Roman"/>
                  <w:lang w:val="lt-LT"/>
                </w:rPr>
                <w:t>https://rvpl.lt/wp-content/uploads/2023/04/Korupcijos-prevencijos-politika.pdf</w:t>
              </w:r>
            </w:hyperlink>
          </w:p>
          <w:p w14:paraId="530ABD59" w14:textId="77777777" w:rsidR="00A86597" w:rsidRPr="005C352D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86597" w:rsidRPr="002D6358" w14:paraId="37078F9B" w14:textId="5E0EE9A7" w:rsidTr="00363191">
        <w:tc>
          <w:tcPr>
            <w:tcW w:w="15163" w:type="dxa"/>
            <w:gridSpan w:val="6"/>
          </w:tcPr>
          <w:p w14:paraId="7D26A233" w14:textId="4DBDFB41" w:rsidR="00A86597" w:rsidRPr="002D6358" w:rsidRDefault="00A86597" w:rsidP="005C352D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lang w:val="lt-LT"/>
              </w:rPr>
              <w:t>2. TIKSLAS. Didinti Ligoninės darbuotojų ir pacientų antikorupcinį sąmoningumą, netoleranciją korupcijai ir skatinti juos veikti skaidriai ir sąžiningai, netoleruojant korupcijos ar kito nesąžiningo elgesio.</w:t>
            </w:r>
          </w:p>
        </w:tc>
      </w:tr>
      <w:tr w:rsidR="00A86597" w:rsidRPr="002D6358" w14:paraId="498052D1" w14:textId="4E298C5E" w:rsidTr="00F2467D">
        <w:tc>
          <w:tcPr>
            <w:tcW w:w="15163" w:type="dxa"/>
            <w:gridSpan w:val="6"/>
          </w:tcPr>
          <w:p w14:paraId="2AFAC625" w14:textId="695D49AB" w:rsidR="00A86597" w:rsidRPr="002D6358" w:rsidRDefault="00A86597" w:rsidP="005C352D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lang w:val="lt-LT"/>
              </w:rPr>
              <w:t>2.1. UŽDAVINYS. Didinti veiklos viešumą ir atskaitingumą visuomenei.</w:t>
            </w:r>
          </w:p>
        </w:tc>
      </w:tr>
      <w:tr w:rsidR="00A86597" w:rsidRPr="002D6358" w14:paraId="2E51AE22" w14:textId="719044AB" w:rsidTr="00A86597">
        <w:tc>
          <w:tcPr>
            <w:tcW w:w="748" w:type="dxa"/>
          </w:tcPr>
          <w:p w14:paraId="5AF5FC6F" w14:textId="77777777" w:rsidR="00A86597" w:rsidRPr="00257F3B" w:rsidRDefault="00A86597" w:rsidP="005C352D">
            <w:pPr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Eil. Nr.</w:t>
            </w:r>
          </w:p>
        </w:tc>
        <w:tc>
          <w:tcPr>
            <w:tcW w:w="3913" w:type="dxa"/>
          </w:tcPr>
          <w:p w14:paraId="29E2065E" w14:textId="77777777" w:rsidR="00A86597" w:rsidRPr="00257F3B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 xml:space="preserve">Priemonės </w:t>
            </w:r>
          </w:p>
        </w:tc>
        <w:tc>
          <w:tcPr>
            <w:tcW w:w="2353" w:type="dxa"/>
          </w:tcPr>
          <w:p w14:paraId="5F1B0808" w14:textId="77777777" w:rsidR="00A86597" w:rsidRPr="00257F3B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 xml:space="preserve">Vykdytojai  </w:t>
            </w:r>
          </w:p>
        </w:tc>
        <w:tc>
          <w:tcPr>
            <w:tcW w:w="2370" w:type="dxa"/>
          </w:tcPr>
          <w:p w14:paraId="2B100A7A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Įgyvendinimo terminas</w:t>
            </w:r>
          </w:p>
        </w:tc>
        <w:tc>
          <w:tcPr>
            <w:tcW w:w="2275" w:type="dxa"/>
          </w:tcPr>
          <w:p w14:paraId="216EAF8E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Laukiamo rezultato vertinimo kriterijai</w:t>
            </w:r>
          </w:p>
        </w:tc>
        <w:tc>
          <w:tcPr>
            <w:tcW w:w="3504" w:type="dxa"/>
          </w:tcPr>
          <w:p w14:paraId="46A73C0C" w14:textId="0D28193C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A86597">
              <w:rPr>
                <w:rFonts w:ascii="Times New Roman" w:hAnsi="Times New Roman" w:cs="Times New Roman"/>
                <w:b/>
                <w:i/>
                <w:lang w:val="lt-LT"/>
              </w:rPr>
              <w:t>Rezultatas</w:t>
            </w:r>
          </w:p>
        </w:tc>
      </w:tr>
      <w:tr w:rsidR="00A86597" w:rsidRPr="002D6358" w14:paraId="40461B57" w14:textId="176CA16B" w:rsidTr="00A86597">
        <w:trPr>
          <w:trHeight w:val="1068"/>
        </w:trPr>
        <w:tc>
          <w:tcPr>
            <w:tcW w:w="748" w:type="dxa"/>
          </w:tcPr>
          <w:p w14:paraId="1F4AF5EE" w14:textId="1AF15703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lastRenderedPageBreak/>
              <w:t>2.1.3.</w:t>
            </w:r>
          </w:p>
        </w:tc>
        <w:tc>
          <w:tcPr>
            <w:tcW w:w="3913" w:type="dxa"/>
          </w:tcPr>
          <w:p w14:paraId="19C97472" w14:textId="0646C525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Vykdyti anoniminę pacientų apklausą, siekiant įvertinti pacientų požiūrį į korupciją ir galimą korupcijos paplitimą Ligoninėje</w:t>
            </w:r>
          </w:p>
        </w:tc>
        <w:tc>
          <w:tcPr>
            <w:tcW w:w="2353" w:type="dxa"/>
          </w:tcPr>
          <w:p w14:paraId="6084E9BE" w14:textId="303E50B8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Korupcijos prevencijos specialistas, Direktori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257F3B">
              <w:rPr>
                <w:rFonts w:ascii="Times New Roman" w:hAnsi="Times New Roman" w:cs="Times New Roman"/>
                <w:lang w:val="lt-LT"/>
              </w:rPr>
              <w:t xml:space="preserve">us </w:t>
            </w:r>
            <w:r>
              <w:rPr>
                <w:rFonts w:ascii="Times New Roman" w:hAnsi="Times New Roman" w:cs="Times New Roman"/>
                <w:lang w:val="lt-LT"/>
              </w:rPr>
              <w:t xml:space="preserve">pavaduotojas </w:t>
            </w:r>
            <w:r w:rsidRPr="00257F3B">
              <w:rPr>
                <w:rFonts w:ascii="Times New Roman" w:hAnsi="Times New Roman" w:cs="Times New Roman"/>
                <w:lang w:val="lt-LT"/>
              </w:rPr>
              <w:t>medicinai</w:t>
            </w:r>
          </w:p>
        </w:tc>
        <w:tc>
          <w:tcPr>
            <w:tcW w:w="2370" w:type="dxa"/>
          </w:tcPr>
          <w:p w14:paraId="3CA92B8E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 xml:space="preserve">2023 m. IV </w:t>
            </w:r>
            <w:proofErr w:type="spellStart"/>
            <w:r w:rsidRPr="00257F3B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257F3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0F8A8E6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 xml:space="preserve">2024 m. IV </w:t>
            </w:r>
            <w:proofErr w:type="spellStart"/>
            <w:r w:rsidRPr="00257F3B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257F3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BA5807B" w14:textId="41153BBC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 xml:space="preserve">2025 m. IV </w:t>
            </w:r>
            <w:proofErr w:type="spellStart"/>
            <w:r w:rsidRPr="00257F3B">
              <w:rPr>
                <w:rFonts w:ascii="Times New Roman" w:hAnsi="Times New Roman" w:cs="Times New Roman"/>
                <w:lang w:val="lt-LT"/>
              </w:rPr>
              <w:t>ketv</w:t>
            </w:r>
            <w:proofErr w:type="spellEnd"/>
            <w:r w:rsidRPr="00257F3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275" w:type="dxa"/>
          </w:tcPr>
          <w:p w14:paraId="773ED389" w14:textId="3AED5756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Parengtas klausimynas, atlikta apklausa, paskelbti rezultatai.</w:t>
            </w:r>
          </w:p>
        </w:tc>
        <w:tc>
          <w:tcPr>
            <w:tcW w:w="3504" w:type="dxa"/>
          </w:tcPr>
          <w:p w14:paraId="4CC714C9" w14:textId="77777777" w:rsidR="00E46965" w:rsidRDefault="00A86597" w:rsidP="005C352D">
            <w:pPr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r w:rsidRPr="00CD4148">
              <w:rPr>
                <w:rFonts w:ascii="Times New Roman" w:hAnsi="Times New Roman" w:cs="Times New Roman"/>
                <w:color w:val="7030A0"/>
                <w:lang w:val="lt-LT"/>
              </w:rPr>
              <w:t>Vykdoma</w:t>
            </w:r>
            <w:r w:rsidR="00CD4148" w:rsidRPr="00CD4148">
              <w:rPr>
                <w:rFonts w:ascii="Times New Roman" w:hAnsi="Times New Roman" w:cs="Times New Roman"/>
                <w:color w:val="7030A0"/>
                <w:lang w:val="lt-LT"/>
              </w:rPr>
              <w:t xml:space="preserve">. </w:t>
            </w:r>
          </w:p>
          <w:p w14:paraId="0C21EDC4" w14:textId="77777777" w:rsidR="00E46965" w:rsidRDefault="00E46965" w:rsidP="005C352D">
            <w:pPr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</w:p>
          <w:p w14:paraId="3D79481C" w14:textId="76DFA6CE" w:rsidR="00A86597" w:rsidRPr="00257F3B" w:rsidRDefault="00E46965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Nuoroda į </w:t>
            </w:r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III </w:t>
            </w:r>
            <w:proofErr w:type="spellStart"/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>ketv</w:t>
            </w:r>
            <w:proofErr w:type="spellEnd"/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. </w:t>
            </w:r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apklausos </w:t>
            </w:r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>r</w:t>
            </w:r>
            <w:r w:rsidRPr="000267DA">
              <w:rPr>
                <w:rFonts w:ascii="Times New Roman" w:hAnsi="Times New Roman" w:cs="Times New Roman"/>
                <w:color w:val="7030A0"/>
                <w:lang w:val="lt-LT"/>
              </w:rPr>
              <w:t>ezultatus</w:t>
            </w:r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, skiltis ,,Apklausos“ - ,,Pacientų </w:t>
            </w:r>
            <w:proofErr w:type="spellStart"/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>apklausa_III</w:t>
            </w:r>
            <w:proofErr w:type="spellEnd"/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 </w:t>
            </w:r>
            <w:proofErr w:type="spellStart"/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>ketv</w:t>
            </w:r>
            <w:proofErr w:type="spellEnd"/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.“:  </w:t>
            </w:r>
            <w:hyperlink r:id="rId7" w:history="1">
              <w:r w:rsidR="000267DA" w:rsidRPr="003203D6">
                <w:rPr>
                  <w:rStyle w:val="Hyperlink"/>
                  <w:rFonts w:ascii="Times New Roman" w:hAnsi="Times New Roman" w:cs="Times New Roman"/>
                  <w:lang w:val="lt-LT"/>
                </w:rPr>
                <w:t>https://rvpl.lt/korupcijos-prevencija1/</w:t>
              </w:r>
            </w:hyperlink>
            <w:r w:rsidR="000267DA">
              <w:rPr>
                <w:rFonts w:ascii="Times New Roman" w:hAnsi="Times New Roman" w:cs="Times New Roman"/>
                <w:color w:val="7030A0"/>
                <w:lang w:val="lt-LT"/>
              </w:rPr>
              <w:t xml:space="preserve"> </w:t>
            </w:r>
          </w:p>
        </w:tc>
      </w:tr>
      <w:tr w:rsidR="00CD4148" w:rsidRPr="002D6358" w14:paraId="695DE4E9" w14:textId="70D02386" w:rsidTr="00836619">
        <w:trPr>
          <w:trHeight w:val="464"/>
        </w:trPr>
        <w:tc>
          <w:tcPr>
            <w:tcW w:w="15163" w:type="dxa"/>
            <w:gridSpan w:val="6"/>
          </w:tcPr>
          <w:p w14:paraId="7BEFC536" w14:textId="23364D1C" w:rsidR="00CD4148" w:rsidRPr="00257F3B" w:rsidRDefault="00CD4148" w:rsidP="005C352D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lang w:val="lt-LT"/>
              </w:rPr>
              <w:t>3. TIKSLAS. Vykdyti atvirą ir aiškią komunikaciją, deklaruojant netoleranciją korupcijai ir formuojant skaidrios ir atviros Ligoninės įvaizdį.</w:t>
            </w:r>
          </w:p>
        </w:tc>
      </w:tr>
      <w:tr w:rsidR="00CD4148" w:rsidRPr="002D6358" w14:paraId="40299ED5" w14:textId="386D9A6F" w:rsidTr="00AF3CA1">
        <w:trPr>
          <w:trHeight w:val="428"/>
        </w:trPr>
        <w:tc>
          <w:tcPr>
            <w:tcW w:w="15163" w:type="dxa"/>
            <w:gridSpan w:val="6"/>
          </w:tcPr>
          <w:p w14:paraId="5FCA6ADD" w14:textId="24B754B9" w:rsidR="00CD4148" w:rsidRPr="00257F3B" w:rsidRDefault="00CD4148" w:rsidP="005C352D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lang w:val="lt-LT"/>
              </w:rPr>
              <w:t>3.1. UŽDAVINYS. Gerinti administracinių ir viešųjų paslaugų kokybę, didinti sprendimų ir procedūrų skaidrumą.</w:t>
            </w:r>
          </w:p>
        </w:tc>
      </w:tr>
      <w:tr w:rsidR="00A86597" w:rsidRPr="002D6358" w14:paraId="0529A398" w14:textId="7372989E" w:rsidTr="00A86597">
        <w:tc>
          <w:tcPr>
            <w:tcW w:w="748" w:type="dxa"/>
          </w:tcPr>
          <w:p w14:paraId="17BF2839" w14:textId="77777777" w:rsidR="00A86597" w:rsidRPr="00257F3B" w:rsidRDefault="00A86597" w:rsidP="005C352D">
            <w:pPr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Eil. Nr.</w:t>
            </w:r>
          </w:p>
        </w:tc>
        <w:tc>
          <w:tcPr>
            <w:tcW w:w="3913" w:type="dxa"/>
          </w:tcPr>
          <w:p w14:paraId="1B76DA31" w14:textId="77777777" w:rsidR="00A86597" w:rsidRPr="00257F3B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 xml:space="preserve">Priemonės </w:t>
            </w:r>
          </w:p>
        </w:tc>
        <w:tc>
          <w:tcPr>
            <w:tcW w:w="2353" w:type="dxa"/>
          </w:tcPr>
          <w:p w14:paraId="399D4837" w14:textId="77777777" w:rsidR="00A86597" w:rsidRPr="00257F3B" w:rsidRDefault="00A86597" w:rsidP="005C352D">
            <w:pPr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 xml:space="preserve">Vykdytojai  </w:t>
            </w:r>
          </w:p>
        </w:tc>
        <w:tc>
          <w:tcPr>
            <w:tcW w:w="2370" w:type="dxa"/>
          </w:tcPr>
          <w:p w14:paraId="61E84B95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Įgyvendinimo terminas</w:t>
            </w:r>
          </w:p>
        </w:tc>
        <w:tc>
          <w:tcPr>
            <w:tcW w:w="2275" w:type="dxa"/>
          </w:tcPr>
          <w:p w14:paraId="27A878A9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257F3B">
              <w:rPr>
                <w:rFonts w:ascii="Times New Roman" w:hAnsi="Times New Roman" w:cs="Times New Roman"/>
                <w:b/>
                <w:i/>
                <w:lang w:val="lt-LT"/>
              </w:rPr>
              <w:t>Laukiamo rezultato vertinimo kriterijai</w:t>
            </w:r>
          </w:p>
        </w:tc>
        <w:tc>
          <w:tcPr>
            <w:tcW w:w="3504" w:type="dxa"/>
          </w:tcPr>
          <w:p w14:paraId="0E55DAAA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</w:tr>
      <w:tr w:rsidR="00A86597" w:rsidRPr="002D6358" w14:paraId="3699B371" w14:textId="0EB26994" w:rsidTr="00A86597">
        <w:tc>
          <w:tcPr>
            <w:tcW w:w="748" w:type="dxa"/>
          </w:tcPr>
          <w:p w14:paraId="26F6DE38" w14:textId="0CCE3827" w:rsidR="00A86597" w:rsidRPr="00257F3B" w:rsidRDefault="00A86597" w:rsidP="005C352D">
            <w:pPr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3.1.3.</w:t>
            </w:r>
          </w:p>
          <w:p w14:paraId="28EAEACE" w14:textId="098AA55F" w:rsidR="00A86597" w:rsidRPr="00257F3B" w:rsidRDefault="00A86597" w:rsidP="005C352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13" w:type="dxa"/>
          </w:tcPr>
          <w:p w14:paraId="573EAE03" w14:textId="0F5BAE91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Periodiškai organizuojamas darbuotojų antikorupcinis švietimas,</w:t>
            </w:r>
            <w:r w:rsidRPr="00257F3B">
              <w:rPr>
                <w:rFonts w:ascii="Times New Roman" w:eastAsia="Times New Roman" w:hAnsi="Times New Roman" w:cs="Times New Roman"/>
                <w:bCs/>
                <w:color w:val="FFFFFF"/>
                <w:spacing w:val="-5"/>
                <w:lang w:val="lt-LT" w:eastAsia="lt-LT"/>
              </w:rPr>
              <w:t xml:space="preserve"> </w:t>
            </w:r>
            <w:r w:rsidRPr="00257F3B">
              <w:rPr>
                <w:rFonts w:ascii="Times New Roman" w:hAnsi="Times New Roman" w:cs="Times New Roman"/>
                <w:bCs/>
                <w:lang w:val="lt-LT"/>
              </w:rPr>
              <w:t>organizuojami mokymai apie interesų konfliktus bei kaip juos tinkamai valdyti</w:t>
            </w:r>
            <w:r w:rsidRPr="00257F3B">
              <w:rPr>
                <w:rFonts w:ascii="Times New Roman" w:hAnsi="Times New Roman" w:cs="Times New Roman"/>
                <w:lang w:val="lt-LT"/>
              </w:rPr>
              <w:t xml:space="preserve"> ir medžiagos aktualiais korupcijos prevencijos ar interesų konflikto valdymo klausimais rengimas.</w:t>
            </w:r>
          </w:p>
        </w:tc>
        <w:tc>
          <w:tcPr>
            <w:tcW w:w="2353" w:type="dxa"/>
          </w:tcPr>
          <w:p w14:paraId="2548A799" w14:textId="0D7F114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Korupcijos prevencijos specialistas,</w:t>
            </w:r>
          </w:p>
          <w:p w14:paraId="1AA68661" w14:textId="6F525FB0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Atitikties pareigūnas</w:t>
            </w:r>
          </w:p>
        </w:tc>
        <w:tc>
          <w:tcPr>
            <w:tcW w:w="2370" w:type="dxa"/>
          </w:tcPr>
          <w:p w14:paraId="65DAB701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Mokymų organizavimas – ne mažiau nei kartą per metus,</w:t>
            </w:r>
          </w:p>
          <w:p w14:paraId="12AB8505" w14:textId="77777777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Medžiagos aktualiais korupcijos prevencijos ar interesų konflikto valdymo klausimais rengimas – pagal poreikį, atsinaujinus teisės aktams, atsiradus aktualiai informacijai</w:t>
            </w:r>
          </w:p>
          <w:p w14:paraId="017DF030" w14:textId="462DCB3D" w:rsidR="00A86597" w:rsidRPr="00257F3B" w:rsidRDefault="00A86597" w:rsidP="005C352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75" w:type="dxa"/>
          </w:tcPr>
          <w:p w14:paraId="1B982394" w14:textId="7641DC60" w:rsidR="00A86597" w:rsidRPr="00257F3B" w:rsidRDefault="00A86597" w:rsidP="005C352D">
            <w:pPr>
              <w:pStyle w:val="ListParagraph"/>
              <w:tabs>
                <w:tab w:val="left" w:pos="176"/>
              </w:tabs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57F3B">
              <w:rPr>
                <w:rFonts w:ascii="Times New Roman" w:hAnsi="Times New Roman" w:cs="Times New Roman"/>
                <w:lang w:val="lt-LT"/>
              </w:rPr>
              <w:t>Suorganizuoti mokymai,  teikiama medžiaga aktualiais korupcijos prevencijos klausimais.</w:t>
            </w:r>
          </w:p>
        </w:tc>
        <w:tc>
          <w:tcPr>
            <w:tcW w:w="3504" w:type="dxa"/>
          </w:tcPr>
          <w:p w14:paraId="7C08168F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t>STT e. mokymų platforma:</w:t>
            </w:r>
          </w:p>
          <w:p w14:paraId="5D566D46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>Mokymuose dalyvavo -  4 darbuotojai.</w:t>
            </w:r>
          </w:p>
          <w:p w14:paraId="57AB040C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</w:p>
          <w:p w14:paraId="56C73698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t xml:space="preserve">STT organizuoti mokymai: </w:t>
            </w:r>
          </w:p>
          <w:p w14:paraId="33865730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>2023-05-18 ,,Naujasis korupcijos pasireiškimo tikimybės nustatymo modelis“ – dalyvavo korupcijos prevencijos veiklos specialistas.</w:t>
            </w:r>
          </w:p>
          <w:p w14:paraId="43CB8A7A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</w:p>
          <w:p w14:paraId="728C5371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t>Kiti mokymai:</w:t>
            </w:r>
          </w:p>
          <w:p w14:paraId="0C6A1030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proofErr w:type="spellStart"/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>Transparency</w:t>
            </w:r>
            <w:proofErr w:type="spellEnd"/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 xml:space="preserve"> International Lietuvos skyrius ir LR generalinė prokuratūra 2023-05-30 ,, Pranešėjų apsaugos forumas“ - dalyvavo korupcijos prevencijos veiklos specialistas.</w:t>
            </w:r>
          </w:p>
          <w:p w14:paraId="5BFBB7E9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</w:p>
          <w:p w14:paraId="62CB4181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>Skaidrumo akademija 2023-09-26 ,,Korupcijai atsparūs teisės aktai. Kaip tą pasiekti?" - dalyvavo korupcijos prevencijos veiklos specialistas.</w:t>
            </w:r>
          </w:p>
          <w:p w14:paraId="2A9CE63B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7030A0"/>
                <w:lang w:val="lt-LT"/>
              </w:rPr>
            </w:pPr>
          </w:p>
          <w:p w14:paraId="60391C48" w14:textId="77777777" w:rsidR="00213835" w:rsidRPr="00213835" w:rsidRDefault="00213835" w:rsidP="00213835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</w:pPr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lastRenderedPageBreak/>
              <w:t xml:space="preserve">Darbuotojams reguliariai </w:t>
            </w:r>
            <w:proofErr w:type="spellStart"/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t>siučiama</w:t>
            </w:r>
            <w:proofErr w:type="spellEnd"/>
            <w:r w:rsidRPr="00213835">
              <w:rPr>
                <w:rFonts w:ascii="Times New Roman" w:hAnsi="Times New Roman" w:cs="Times New Roman"/>
                <w:b/>
                <w:bCs/>
                <w:color w:val="7030A0"/>
                <w:lang w:val="lt-LT"/>
              </w:rPr>
              <w:t xml:space="preserve"> informacija:</w:t>
            </w:r>
          </w:p>
          <w:p w14:paraId="6D89009F" w14:textId="09FECE80" w:rsidR="00CD4148" w:rsidRPr="00257F3B" w:rsidRDefault="00213835" w:rsidP="00213835">
            <w:pPr>
              <w:pStyle w:val="ListParagraph"/>
              <w:tabs>
                <w:tab w:val="left" w:pos="176"/>
              </w:tabs>
              <w:ind w:left="3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 xml:space="preserve">Korupcijos prevencija: aktuali informacija 2023-03-17, 2023-04-21, 2023-05-26, 2023-05-30, 2023-06-20, 2023-08-09, 2023-09-15, 2023-10-02 – informacija siunčiama </w:t>
            </w:r>
            <w:proofErr w:type="spellStart"/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>el.paštu</w:t>
            </w:r>
            <w:proofErr w:type="spellEnd"/>
            <w:r w:rsidRPr="00213835">
              <w:rPr>
                <w:rFonts w:ascii="Times New Roman" w:hAnsi="Times New Roman" w:cs="Times New Roman"/>
                <w:color w:val="7030A0"/>
                <w:lang w:val="lt-LT"/>
              </w:rPr>
              <w:t xml:space="preserve"> (apie 660 darbuotojų).</w:t>
            </w:r>
          </w:p>
        </w:tc>
      </w:tr>
      <w:tr w:rsidR="000725C4" w:rsidRPr="002D6358" w14:paraId="76991A42" w14:textId="1C7C2B7A" w:rsidTr="00B44116">
        <w:tc>
          <w:tcPr>
            <w:tcW w:w="15163" w:type="dxa"/>
            <w:gridSpan w:val="6"/>
          </w:tcPr>
          <w:p w14:paraId="629CAA87" w14:textId="24C3AF59" w:rsidR="000725C4" w:rsidRPr="002D6358" w:rsidRDefault="000725C4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lang w:val="lt-LT"/>
              </w:rPr>
              <w:lastRenderedPageBreak/>
              <w:t>4. TIKSLAS. Siekti skaidrumo, efektyvumo viešųjų pirkimų srityje bei užtikrinti pagrindinį viešųjų pirkimų tikslą – racionaliai naudoti skirtas lėšas.</w:t>
            </w:r>
          </w:p>
        </w:tc>
      </w:tr>
      <w:tr w:rsidR="000725C4" w:rsidRPr="002D6358" w14:paraId="63E91CF0" w14:textId="2F46FAA0" w:rsidTr="00FE66F8">
        <w:tc>
          <w:tcPr>
            <w:tcW w:w="15163" w:type="dxa"/>
            <w:gridSpan w:val="6"/>
          </w:tcPr>
          <w:p w14:paraId="51099016" w14:textId="1721D1AC" w:rsidR="000725C4" w:rsidRPr="002D6358" w:rsidRDefault="000725C4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D6358">
              <w:rPr>
                <w:rFonts w:ascii="Times New Roman" w:hAnsi="Times New Roman" w:cs="Times New Roman"/>
                <w:b/>
                <w:lang w:val="lt-LT"/>
              </w:rPr>
              <w:t>4.1. UŽDAVINYS. Skaidrinti viešųjų pirkimų procesą.</w:t>
            </w:r>
          </w:p>
        </w:tc>
      </w:tr>
      <w:tr w:rsidR="00A86597" w:rsidRPr="002D6358" w14:paraId="26182CE9" w14:textId="76E96C2A" w:rsidTr="00A86597">
        <w:tc>
          <w:tcPr>
            <w:tcW w:w="748" w:type="dxa"/>
          </w:tcPr>
          <w:p w14:paraId="3CF83B98" w14:textId="77777777" w:rsidR="00A86597" w:rsidRPr="002D6358" w:rsidRDefault="00A86597" w:rsidP="005C352D">
            <w:pPr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4.1.1.</w:t>
            </w:r>
          </w:p>
          <w:p w14:paraId="1A131395" w14:textId="77777777" w:rsidR="00A86597" w:rsidRPr="002D6358" w:rsidRDefault="00A86597" w:rsidP="005C352D">
            <w:pPr>
              <w:rPr>
                <w:rFonts w:ascii="Times New Roman" w:hAnsi="Times New Roman" w:cs="Times New Roman"/>
                <w:lang w:val="lt-LT"/>
              </w:rPr>
            </w:pPr>
          </w:p>
          <w:p w14:paraId="010809D8" w14:textId="14D7FC56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13" w:type="dxa"/>
          </w:tcPr>
          <w:p w14:paraId="2C6E511A" w14:textId="7A008EBE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Atlikti vykdomų pirkimų stebėseną pagal nurodytus Viešųjų pirkimų tarnybos rekomenduojamus pirkimų vertinimo rodiklius, juos adaptuoti ir ne mažiau kaip keturis rodiklius paviešinti Ligoninės interneto svetainėje</w:t>
            </w:r>
            <w:r>
              <w:rPr>
                <w:rFonts w:ascii="Times New Roman" w:hAnsi="Times New Roman" w:cs="Times New Roman"/>
                <w:lang w:val="lt-LT"/>
              </w:rPr>
              <w:t>,</w:t>
            </w:r>
            <w:r w:rsidRPr="002D6358">
              <w:rPr>
                <w:rFonts w:ascii="Times New Roman" w:hAnsi="Times New Roman" w:cs="Times New Roman"/>
                <w:lang w:val="lt-LT"/>
              </w:rPr>
              <w:t xml:space="preserve"> vadovaujantis Lietuvos Respublikos sveikatos apsaugos ministro 2020 m. liepos 14 d. įsakymu Nr. V-1651 „Dėl pirkimų vykdytojų sveikatos priežiūros sistemoje viešųjų pirkimų vertinimo rodiklių paviešinimo“.</w:t>
            </w:r>
          </w:p>
        </w:tc>
        <w:tc>
          <w:tcPr>
            <w:tcW w:w="2353" w:type="dxa"/>
          </w:tcPr>
          <w:p w14:paraId="1F2A1DAD" w14:textId="3421B94D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Teisės ir viešųjų pirkimų skyriaus atsakingas asmuo</w:t>
            </w:r>
          </w:p>
        </w:tc>
        <w:tc>
          <w:tcPr>
            <w:tcW w:w="2370" w:type="dxa"/>
          </w:tcPr>
          <w:p w14:paraId="6CDB87B3" w14:textId="04C51F7F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Einamųjų metų rodiklių reikšmes atnaujinti ne rečiau kaip kas ketvirtį iki kito mėnesio 10 d.</w:t>
            </w:r>
          </w:p>
        </w:tc>
        <w:tc>
          <w:tcPr>
            <w:tcW w:w="2275" w:type="dxa"/>
          </w:tcPr>
          <w:p w14:paraId="3CF1DF81" w14:textId="15D5DF06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 xml:space="preserve">Paskelbti pirkimų vertinimo rodiklius. </w:t>
            </w:r>
          </w:p>
        </w:tc>
        <w:tc>
          <w:tcPr>
            <w:tcW w:w="3504" w:type="dxa"/>
          </w:tcPr>
          <w:p w14:paraId="3AA2F5D2" w14:textId="77777777" w:rsidR="000725C4" w:rsidRPr="000725C4" w:rsidRDefault="000725C4" w:rsidP="000725C4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0725C4">
              <w:rPr>
                <w:rFonts w:ascii="Times New Roman" w:hAnsi="Times New Roman" w:cs="Times New Roman"/>
                <w:color w:val="7030A0"/>
                <w:lang w:val="lt-LT"/>
              </w:rPr>
              <w:t xml:space="preserve">Rodikliai skelbiami: </w:t>
            </w:r>
            <w:hyperlink r:id="rId8" w:history="1">
              <w:r w:rsidRPr="000725C4">
                <w:rPr>
                  <w:rStyle w:val="Hyperlink"/>
                  <w:rFonts w:ascii="Times New Roman" w:hAnsi="Times New Roman" w:cs="Times New Roman"/>
                  <w:lang w:val="lt-LT"/>
                </w:rPr>
                <w:t>https://vpt.lrv.lt/lt/svieslente</w:t>
              </w:r>
            </w:hyperlink>
          </w:p>
          <w:p w14:paraId="73E76EBB" w14:textId="6CCB04F6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86597" w:rsidRPr="002D6358" w14:paraId="78504FAC" w14:textId="57B2F7C1" w:rsidTr="00A86597">
        <w:tc>
          <w:tcPr>
            <w:tcW w:w="748" w:type="dxa"/>
          </w:tcPr>
          <w:p w14:paraId="2C3A5B24" w14:textId="77777777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4.1.3.</w:t>
            </w:r>
          </w:p>
        </w:tc>
        <w:tc>
          <w:tcPr>
            <w:tcW w:w="3913" w:type="dxa"/>
          </w:tcPr>
          <w:p w14:paraId="55C74945" w14:textId="77777777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Didinti vaistų centralizuotų pirkimų procentinę dalį per Centrinės perkančiosios organizacijos elektroninį katalogą.</w:t>
            </w:r>
          </w:p>
        </w:tc>
        <w:tc>
          <w:tcPr>
            <w:tcW w:w="2353" w:type="dxa"/>
          </w:tcPr>
          <w:p w14:paraId="5952CA0F" w14:textId="6C024D07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Vaistinės</w:t>
            </w:r>
            <w:r>
              <w:rPr>
                <w:rFonts w:ascii="Times New Roman" w:hAnsi="Times New Roman" w:cs="Times New Roman"/>
                <w:lang w:val="lt-LT"/>
              </w:rPr>
              <w:t xml:space="preserve"> vadovas</w:t>
            </w:r>
            <w:r w:rsidRPr="002D6358">
              <w:rPr>
                <w:rFonts w:ascii="Times New Roman" w:hAnsi="Times New Roman" w:cs="Times New Roman"/>
                <w:lang w:val="lt-LT"/>
              </w:rPr>
              <w:t>, Teisės ir viešųjų pirkimų skyriaus atsakingas asmuo</w:t>
            </w:r>
          </w:p>
        </w:tc>
        <w:tc>
          <w:tcPr>
            <w:tcW w:w="2370" w:type="dxa"/>
          </w:tcPr>
          <w:p w14:paraId="581E942A" w14:textId="77777777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Nuolat</w:t>
            </w:r>
          </w:p>
        </w:tc>
        <w:tc>
          <w:tcPr>
            <w:tcW w:w="2275" w:type="dxa"/>
          </w:tcPr>
          <w:p w14:paraId="2826EC9F" w14:textId="77777777" w:rsidR="00A86597" w:rsidRPr="002D6358" w:rsidRDefault="00A86597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2D6358">
              <w:rPr>
                <w:rFonts w:ascii="Times New Roman" w:hAnsi="Times New Roman" w:cs="Times New Roman"/>
                <w:lang w:val="lt-LT"/>
              </w:rPr>
              <w:t>Vaistų, kurie įsigyti per VšĮ CPO LT elektroninį katalogą, vertės dalis nuo bendros vaistų, kuriuos galima įsigyti per VšĮ CPO LT elektroninį katalogą, vertės sudaro ne mažiau kaip 80 proc.</w:t>
            </w:r>
          </w:p>
        </w:tc>
        <w:tc>
          <w:tcPr>
            <w:tcW w:w="3504" w:type="dxa"/>
          </w:tcPr>
          <w:p w14:paraId="07D77A5D" w14:textId="74134330" w:rsidR="00A86597" w:rsidRPr="002D6358" w:rsidRDefault="000725C4" w:rsidP="005C352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0725C4">
              <w:rPr>
                <w:rFonts w:ascii="Times New Roman" w:hAnsi="Times New Roman" w:cs="Times New Roman"/>
                <w:color w:val="7030A0"/>
                <w:lang w:val="lt-LT"/>
              </w:rPr>
              <w:t>Visi vaistai, kuriuos yra galimybė pirkti, perkami per VšĮ CPO LT</w:t>
            </w:r>
          </w:p>
        </w:tc>
      </w:tr>
    </w:tbl>
    <w:p w14:paraId="54C40136" w14:textId="77777777" w:rsidR="002315FD" w:rsidRPr="002D6358" w:rsidRDefault="002315FD" w:rsidP="002315F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2315FD" w:rsidRPr="002D6358" w:rsidSect="00091B03">
      <w:pgSz w:w="16838" w:h="11906" w:orient="landscape"/>
      <w:pgMar w:top="1985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6023B"/>
    <w:multiLevelType w:val="hybridMultilevel"/>
    <w:tmpl w:val="B0B47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0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FD"/>
    <w:rsid w:val="000267DA"/>
    <w:rsid w:val="00031E12"/>
    <w:rsid w:val="00055A74"/>
    <w:rsid w:val="000725C4"/>
    <w:rsid w:val="00091B03"/>
    <w:rsid w:val="000B1EB9"/>
    <w:rsid w:val="000B6427"/>
    <w:rsid w:val="000B7B35"/>
    <w:rsid w:val="000E0FC4"/>
    <w:rsid w:val="0010193A"/>
    <w:rsid w:val="001019A1"/>
    <w:rsid w:val="0016662F"/>
    <w:rsid w:val="0017732D"/>
    <w:rsid w:val="00180649"/>
    <w:rsid w:val="001A5B73"/>
    <w:rsid w:val="001C575C"/>
    <w:rsid w:val="001C7159"/>
    <w:rsid w:val="00213835"/>
    <w:rsid w:val="00223BE8"/>
    <w:rsid w:val="002315FD"/>
    <w:rsid w:val="00251774"/>
    <w:rsid w:val="00257F3B"/>
    <w:rsid w:val="00261372"/>
    <w:rsid w:val="00277FEB"/>
    <w:rsid w:val="00295917"/>
    <w:rsid w:val="002D6358"/>
    <w:rsid w:val="002D72B0"/>
    <w:rsid w:val="00356554"/>
    <w:rsid w:val="00357C07"/>
    <w:rsid w:val="00361D89"/>
    <w:rsid w:val="003B3A89"/>
    <w:rsid w:val="003B4BAE"/>
    <w:rsid w:val="00405BAE"/>
    <w:rsid w:val="00410A1B"/>
    <w:rsid w:val="00435889"/>
    <w:rsid w:val="00460F19"/>
    <w:rsid w:val="00475215"/>
    <w:rsid w:val="00497907"/>
    <w:rsid w:val="004A2653"/>
    <w:rsid w:val="004E0104"/>
    <w:rsid w:val="004F4E95"/>
    <w:rsid w:val="005004B3"/>
    <w:rsid w:val="00523ADA"/>
    <w:rsid w:val="00531117"/>
    <w:rsid w:val="005377F5"/>
    <w:rsid w:val="0054097B"/>
    <w:rsid w:val="005C352D"/>
    <w:rsid w:val="00651284"/>
    <w:rsid w:val="0065462D"/>
    <w:rsid w:val="0065535F"/>
    <w:rsid w:val="00657D06"/>
    <w:rsid w:val="00674FDF"/>
    <w:rsid w:val="0069213B"/>
    <w:rsid w:val="006A1B40"/>
    <w:rsid w:val="006B5C1B"/>
    <w:rsid w:val="006C200E"/>
    <w:rsid w:val="006C7003"/>
    <w:rsid w:val="006D599C"/>
    <w:rsid w:val="006E20D8"/>
    <w:rsid w:val="006F4F0F"/>
    <w:rsid w:val="00727C2E"/>
    <w:rsid w:val="00744012"/>
    <w:rsid w:val="00744575"/>
    <w:rsid w:val="007D7144"/>
    <w:rsid w:val="008157CB"/>
    <w:rsid w:val="00823A4A"/>
    <w:rsid w:val="008863C1"/>
    <w:rsid w:val="008959A9"/>
    <w:rsid w:val="008A3750"/>
    <w:rsid w:val="008A61A6"/>
    <w:rsid w:val="008B42F9"/>
    <w:rsid w:val="008F72E4"/>
    <w:rsid w:val="0090178F"/>
    <w:rsid w:val="009A347F"/>
    <w:rsid w:val="009D5AB2"/>
    <w:rsid w:val="009E01A8"/>
    <w:rsid w:val="00A07F32"/>
    <w:rsid w:val="00A10BB1"/>
    <w:rsid w:val="00A1362D"/>
    <w:rsid w:val="00A358A0"/>
    <w:rsid w:val="00A86597"/>
    <w:rsid w:val="00AD7857"/>
    <w:rsid w:val="00AE287E"/>
    <w:rsid w:val="00B06593"/>
    <w:rsid w:val="00B44E44"/>
    <w:rsid w:val="00B46674"/>
    <w:rsid w:val="00B65437"/>
    <w:rsid w:val="00B944D8"/>
    <w:rsid w:val="00BA3573"/>
    <w:rsid w:val="00BB1BFD"/>
    <w:rsid w:val="00BC1E71"/>
    <w:rsid w:val="00BD18D9"/>
    <w:rsid w:val="00BD53A6"/>
    <w:rsid w:val="00BE79D1"/>
    <w:rsid w:val="00BF7310"/>
    <w:rsid w:val="00C01671"/>
    <w:rsid w:val="00C33DDA"/>
    <w:rsid w:val="00C63AA8"/>
    <w:rsid w:val="00C70FCE"/>
    <w:rsid w:val="00C73DB1"/>
    <w:rsid w:val="00C7727B"/>
    <w:rsid w:val="00C77E01"/>
    <w:rsid w:val="00C81FB3"/>
    <w:rsid w:val="00C97360"/>
    <w:rsid w:val="00CA3910"/>
    <w:rsid w:val="00CB151A"/>
    <w:rsid w:val="00CC7BF4"/>
    <w:rsid w:val="00CD4148"/>
    <w:rsid w:val="00D05959"/>
    <w:rsid w:val="00D264E5"/>
    <w:rsid w:val="00D65A29"/>
    <w:rsid w:val="00D65E39"/>
    <w:rsid w:val="00D814FA"/>
    <w:rsid w:val="00D9168D"/>
    <w:rsid w:val="00DB2BDF"/>
    <w:rsid w:val="00DF55D0"/>
    <w:rsid w:val="00E01DF3"/>
    <w:rsid w:val="00E06D75"/>
    <w:rsid w:val="00E21132"/>
    <w:rsid w:val="00E4558C"/>
    <w:rsid w:val="00E46965"/>
    <w:rsid w:val="00EE2B8F"/>
    <w:rsid w:val="00F13327"/>
    <w:rsid w:val="00F73EB1"/>
    <w:rsid w:val="00F959CD"/>
    <w:rsid w:val="00FA08C6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84BA"/>
  <w15:chartTrackingRefBased/>
  <w15:docId w15:val="{FD1EFE36-607B-462F-8778-D71D019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5FD"/>
    <w:pPr>
      <w:spacing w:after="0" w:line="240" w:lineRule="auto"/>
    </w:pPr>
  </w:style>
  <w:style w:type="table" w:styleId="TableGrid">
    <w:name w:val="Table Grid"/>
    <w:basedOn w:val="TableNormal"/>
    <w:uiPriority w:val="39"/>
    <w:rsid w:val="0018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B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9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svieslente" TargetMode="External"/><Relationship Id="rId3" Type="http://schemas.openxmlformats.org/officeDocument/2006/relationships/styles" Target="styles.xml"/><Relationship Id="rId7" Type="http://schemas.openxmlformats.org/officeDocument/2006/relationships/hyperlink" Target="https://rvpl.lt/korupcijos-prevencija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vpl.lt/wp-content/uploads/2023/04/Korupcijos-prevencijos-politik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A2A9-3DB6-4FD4-8A35-EB22F2E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3612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Bučinskaitė</dc:creator>
  <cp:keywords/>
  <dc:description/>
  <cp:lastModifiedBy>Viktorija Bučinskaitė</cp:lastModifiedBy>
  <cp:revision>4</cp:revision>
  <cp:lastPrinted>2021-11-03T06:16:00Z</cp:lastPrinted>
  <dcterms:created xsi:type="dcterms:W3CDTF">2023-10-10T04:22:00Z</dcterms:created>
  <dcterms:modified xsi:type="dcterms:W3CDTF">2023-10-10T04:42:00Z</dcterms:modified>
</cp:coreProperties>
</file>